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4886"/>
        <w:gridCol w:w="1200"/>
        <w:gridCol w:w="3045"/>
        <w:gridCol w:w="3840"/>
        <w:gridCol w:w="1950"/>
        <w:gridCol w:w="2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(ÚNICO NOMBRE) MARTINEZ HERNÁNDEZ DE HERNÁNDEZ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MUNICIPAL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ORTIZ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RODRIGUEZ CANO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 EN COMPRAS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ANTONIO GRAMAJO CANO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AMPARO SANTOS GARCÍA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TURISMO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ULICES ARMAS GUZMÁN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ELVIA ENRIQUETA ESTRADA CHOSME DE CARDONA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ESTEFANI CAROLA HERNANDEZ DUQUE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ESTEFANY JERENIA ORDOÑEZ SAYLE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ETSON JOSUÉ LOPEZ HERRERA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EULOGIO RAMIRO CANO CALDERON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ARMANDO HERNÁNDEZ SAMAYOA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PROGRAMACIÓN INFORMATICA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HEMNER LEONEL LÓPEZ FLORES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AMABILIA CRUZ FLORES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KAROLINA CASASOLA RUIZ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MARINO COSTEROS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 GABRIELA COTTO VASQUEZ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CONTROL Y PROTECCIÓN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DEL CENTRO DE MONITOREO Y EVALUACIÓN DEL CONAP -CEMEC-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Q.17,000.00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COLMEZAREZ CORTEZ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EXTENCIONISMO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ROLANDO GONZÁLEZ VALENZUELA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 EN MANEJO FORESTAL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ABDIAS OJER GONZÁLEZ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 -SIGAP- (ZONA DE AMORTIGUAMIENTO)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HIDROBIOLÓGICOS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TECNICOS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SIGAP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LIZANDRO SALAZAR TREJO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SUSANA PEREZ RODRIGUEZ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COMUNICACIÓN SOCIAL, RELACIONES PÚBLICAS Y PROTOCOLO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BIOLOGICA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GEOGRAFIA Y ANALISIS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JOSÉ ALVAREZ BARRIOS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RESOLUCIÓN DE CONFICTOS AGRARIOS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GESTION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JOSÉ LÓPEZ RODRÍGUEZ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MONÍTOREO Y VIGILANCIA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OMAR MAZA GUERRA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GÉNERO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DE PUEBLOS INDÍGENAS Y COMUNIDADES LOCALES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4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01-03-2018 al 30-06-2018</w:t>
            </w:r>
          </w:p>
        </w:tc>
      </w:tr>
    </w:tbl>
    <w:p>
      <w:pPr>
        <w:shd w:val="clear"/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ALBA IMELDA ESTRADA QUEVEDO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06/04/2018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2223019"/>
    <w:rsid w:val="243E6E42"/>
    <w:rsid w:val="25385550"/>
    <w:rsid w:val="2A7479E6"/>
    <w:rsid w:val="2EE36585"/>
    <w:rsid w:val="399A36C1"/>
    <w:rsid w:val="39AA64B4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31865ED"/>
    <w:rsid w:val="75412844"/>
    <w:rsid w:val="77475C71"/>
    <w:rsid w:val="7AC168DF"/>
    <w:rsid w:val="7B836BA6"/>
    <w:rsid w:val="7CA6551A"/>
    <w:rsid w:val="7EA31ADC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4404</Words>
  <Characters>27907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2018-09-07T17:28:29Z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